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9B" w:rsidRDefault="001610DE">
      <w:pPr>
        <w:ind w:left="2160" w:firstLine="720"/>
        <w:contextualSpacing w:val="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48"/>
          <w:szCs w:val="48"/>
        </w:rPr>
        <w:t>EGMUN 2018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2E049B" w:rsidRDefault="001610DE">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 chair Rebecca Nicole Bigum Slatcher &amp; Deputy chair Amalie Louise Thorsen</w:t>
      </w:r>
    </w:p>
    <w:p w:rsidR="002E049B" w:rsidRDefault="001610DE">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w:t>
      </w:r>
      <w:r>
        <w:rPr>
          <w:rFonts w:ascii="Times New Roman" w:eastAsia="Times New Roman" w:hAnsi="Times New Roman" w:cs="Times New Roman"/>
          <w:sz w:val="24"/>
          <w:szCs w:val="24"/>
        </w:rPr>
        <w:t xml:space="preserve"> Commission on the Status of Women</w:t>
      </w:r>
    </w:p>
    <w:p w:rsidR="002E049B" w:rsidRDefault="001610DE">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w:t>
      </w:r>
      <w:r>
        <w:rPr>
          <w:rFonts w:ascii="Times New Roman" w:eastAsia="Times New Roman" w:hAnsi="Times New Roman" w:cs="Times New Roman"/>
          <w:sz w:val="24"/>
          <w:szCs w:val="24"/>
        </w:rPr>
        <w:t>:</w:t>
      </w:r>
    </w:p>
    <w:p w:rsidR="002E049B" w:rsidRDefault="001610DE">
      <w:pPr>
        <w:numPr>
          <w:ilvl w:val="0"/>
          <w:numId w:val="2"/>
        </w:numPr>
        <w:spacing w:line="360" w:lineRule="auto"/>
      </w:pPr>
      <w:r>
        <w:rPr>
          <w:rFonts w:ascii="Times New Roman" w:eastAsia="Times New Roman" w:hAnsi="Times New Roman" w:cs="Times New Roman"/>
          <w:sz w:val="24"/>
          <w:szCs w:val="24"/>
        </w:rPr>
        <w:t>Securing equal rights and improving women’s conditions in the economic sector</w:t>
      </w:r>
    </w:p>
    <w:p w:rsidR="002E049B" w:rsidRDefault="001610DE">
      <w:pPr>
        <w:contextualSpacing w:val="0"/>
        <w:jc w:val="center"/>
      </w:pPr>
      <w:r>
        <w:rPr>
          <w:noProof/>
        </w:rPr>
        <w:pict>
          <v:rect id="_x0000_i1025" alt="" style="width:451.45pt;height:.05pt;mso-width-percent:0;mso-height-percent:0;mso-width-percent:0;mso-height-percent:0" o:hralign="center" o:hrstd="t" o:hr="t" fillcolor="#a0a0a0" stroked="f"/>
        </w:pict>
      </w:r>
    </w:p>
    <w:p w:rsidR="002E049B" w:rsidRDefault="001610DE">
      <w:pPr>
        <w:contextualSpacing w:val="0"/>
        <w:rPr>
          <w:rFonts w:ascii="Times New Roman" w:eastAsia="Times New Roman" w:hAnsi="Times New Roman" w:cs="Times New Roman"/>
          <w:sz w:val="36"/>
          <w:szCs w:val="36"/>
        </w:rPr>
      </w:pPr>
      <w:r>
        <w:rPr>
          <w:rFonts w:ascii="Times New Roman" w:eastAsia="Times New Roman" w:hAnsi="Times New Roman" w:cs="Times New Roman"/>
          <w:sz w:val="24"/>
          <w:szCs w:val="24"/>
        </w:rPr>
        <w:t xml:space="preserve"> </w:t>
      </w:r>
    </w:p>
    <w:p w:rsidR="002E049B" w:rsidRDefault="001610DE">
      <w:pPr>
        <w:spacing w:line="360" w:lineRule="auto"/>
        <w:contextualSpacing w:val="0"/>
        <w:rPr>
          <w:rFonts w:ascii="Times New Roman" w:eastAsia="Times New Roman" w:hAnsi="Times New Roman" w:cs="Times New Roman"/>
          <w:sz w:val="36"/>
          <w:szCs w:val="36"/>
        </w:rPr>
      </w:pPr>
      <w:r>
        <w:rPr>
          <w:rFonts w:ascii="Times New Roman" w:eastAsia="Times New Roman" w:hAnsi="Times New Roman" w:cs="Times New Roman"/>
          <w:sz w:val="36"/>
          <w:szCs w:val="36"/>
        </w:rPr>
        <w:t>Official Report Regarding Status of Women</w:t>
      </w:r>
    </w:p>
    <w:p w:rsidR="002E049B" w:rsidRDefault="001610DE">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Equality is not a female issue; it’s a social and economic imperative. The benefits to achieving full gender equality for a woman in</w:t>
      </w:r>
      <w:r>
        <w:rPr>
          <w:rFonts w:ascii="Times New Roman" w:eastAsia="Times New Roman" w:hAnsi="Times New Roman" w:cs="Times New Roman"/>
          <w:sz w:val="24"/>
          <w:szCs w:val="24"/>
        </w:rPr>
        <w:t xml:space="preserve"> the messy middle are apparent: It would mean equal pay for equal work. </w:t>
      </w:r>
      <w:r>
        <w:rPr>
          <w:rFonts w:ascii="Times New Roman" w:eastAsia="Times New Roman" w:hAnsi="Times New Roman" w:cs="Times New Roman"/>
          <w:sz w:val="24"/>
          <w:szCs w:val="24"/>
          <w:highlight w:val="white"/>
        </w:rPr>
        <w:t>Investments in gender equality are the most effective of all development investments.</w:t>
      </w:r>
    </w:p>
    <w:p w:rsidR="002E049B" w:rsidRDefault="002E049B">
      <w:pPr>
        <w:spacing w:line="360" w:lineRule="auto"/>
        <w:contextualSpacing w:val="0"/>
        <w:rPr>
          <w:rFonts w:ascii="Times New Roman" w:eastAsia="Times New Roman" w:hAnsi="Times New Roman" w:cs="Times New Roman"/>
          <w:sz w:val="24"/>
          <w:szCs w:val="24"/>
        </w:rPr>
      </w:pP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 a global scale, fewer women than men are in paid employment, with only about 50 percent of wor</w:t>
      </w:r>
      <w:r>
        <w:rPr>
          <w:rFonts w:ascii="Times New Roman" w:eastAsia="Times New Roman" w:hAnsi="Times New Roman" w:cs="Times New Roman"/>
          <w:sz w:val="24"/>
          <w:szCs w:val="24"/>
          <w:highlight w:val="white"/>
        </w:rPr>
        <w:t>king-age women participating in the labor force. In many countries, laws, regulations and social norms still constrain women’s possibilities to seek paid employment. And all over the world women conduct most of the work that remains unseen and unpaid, in t</w:t>
      </w:r>
      <w:r>
        <w:rPr>
          <w:rFonts w:ascii="Times New Roman" w:eastAsia="Times New Roman" w:hAnsi="Times New Roman" w:cs="Times New Roman"/>
          <w:sz w:val="24"/>
          <w:szCs w:val="24"/>
          <w:highlight w:val="white"/>
        </w:rPr>
        <w:t>he fields and in households.</w:t>
      </w:r>
    </w:p>
    <w:p w:rsidR="002E049B" w:rsidRDefault="002E049B">
      <w:pPr>
        <w:spacing w:line="360" w:lineRule="auto"/>
        <w:contextualSpacing w:val="0"/>
        <w:rPr>
          <w:rFonts w:ascii="Times New Roman" w:eastAsia="Times New Roman" w:hAnsi="Times New Roman" w:cs="Times New Roman"/>
          <w:sz w:val="24"/>
          <w:szCs w:val="24"/>
          <w:highlight w:val="white"/>
        </w:rPr>
      </w:pP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Many women are still excluded from economic and political spheres. Closing these gaps is not only a matter of justice: it is also a matter of development effectiveness. Engaging women as active participants contributes to more</w:t>
      </w:r>
      <w:r>
        <w:rPr>
          <w:rFonts w:ascii="Times New Roman" w:eastAsia="Times New Roman" w:hAnsi="Times New Roman" w:cs="Times New Roman"/>
          <w:sz w:val="24"/>
          <w:szCs w:val="24"/>
          <w:highlight w:val="white"/>
        </w:rPr>
        <w:t xml:space="preserve"> sustainable and more inclusive results. </w:t>
      </w:r>
    </w:p>
    <w:p w:rsidR="002E049B" w:rsidRDefault="002E049B">
      <w:pPr>
        <w:spacing w:line="360" w:lineRule="auto"/>
        <w:contextualSpacing w:val="0"/>
        <w:rPr>
          <w:rFonts w:ascii="Times New Roman" w:eastAsia="Times New Roman" w:hAnsi="Times New Roman" w:cs="Times New Roman"/>
          <w:sz w:val="24"/>
          <w:szCs w:val="24"/>
          <w:highlight w:val="white"/>
        </w:rPr>
      </w:pPr>
    </w:p>
    <w:p w:rsidR="002E049B" w:rsidRDefault="001610DE">
      <w:pPr>
        <w:spacing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 situation regarding the Status of Women</w:t>
      </w: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Currently, the global gender pay gap stands at 24%. This means women earn 76% of what men earn. </w:t>
      </w:r>
      <w:r>
        <w:rPr>
          <w:rFonts w:ascii="Times New Roman" w:eastAsia="Times New Roman" w:hAnsi="Times New Roman" w:cs="Times New Roman"/>
          <w:sz w:val="24"/>
          <w:szCs w:val="24"/>
          <w:highlight w:val="white"/>
        </w:rPr>
        <w:t>At the current rate of progress, the World Economic Forum estimates that it will take 118 years to close the gender gap. This underlines the need to act decisively. Globally women spend 2.5 times more time than men on unpaid care and domestic work, cooking</w:t>
      </w:r>
      <w:r>
        <w:rPr>
          <w:rFonts w:ascii="Times New Roman" w:eastAsia="Times New Roman" w:hAnsi="Times New Roman" w:cs="Times New Roman"/>
          <w:sz w:val="24"/>
          <w:szCs w:val="24"/>
          <w:highlight w:val="white"/>
        </w:rPr>
        <w:t xml:space="preserve">, cleaning, fetching water and firewood and caring for children, the sick and the elderly. Women are overrepresented as contributing family workers and in informal work, despite improvements worldwide over the last 50 years, men spend more time on leisure </w:t>
      </w:r>
      <w:r>
        <w:rPr>
          <w:rFonts w:ascii="Times New Roman" w:eastAsia="Times New Roman" w:hAnsi="Times New Roman" w:cs="Times New Roman"/>
          <w:sz w:val="24"/>
          <w:szCs w:val="24"/>
          <w:highlight w:val="white"/>
        </w:rPr>
        <w:t xml:space="preserve">each day while women spend more time doing unpaid housework. The time women spend on these </w:t>
      </w:r>
      <w:r>
        <w:rPr>
          <w:rFonts w:ascii="Times New Roman" w:eastAsia="Times New Roman" w:hAnsi="Times New Roman" w:cs="Times New Roman"/>
          <w:sz w:val="24"/>
          <w:szCs w:val="24"/>
          <w:highlight w:val="white"/>
        </w:rPr>
        <w:lastRenderedPageBreak/>
        <w:t>domestic chores has a direct impact on the type of paid work they can access: women are more prone to take work part-time and have low paid jobs and generally earn l</w:t>
      </w:r>
      <w:r>
        <w:rPr>
          <w:rFonts w:ascii="Times New Roman" w:eastAsia="Times New Roman" w:hAnsi="Times New Roman" w:cs="Times New Roman"/>
          <w:sz w:val="24"/>
          <w:szCs w:val="24"/>
          <w:highlight w:val="white"/>
        </w:rPr>
        <w:t>ess than their male peers. This results in women becoming more likely to be unemployed than men. In 2017 the global labour force participation rate for women stood at just above 49%, which is approximately 27% lower than the rate for their male peers.</w:t>
      </w: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Alth</w:t>
      </w:r>
      <w:r>
        <w:rPr>
          <w:rFonts w:ascii="Times New Roman" w:eastAsia="Times New Roman" w:hAnsi="Times New Roman" w:cs="Times New Roman"/>
          <w:sz w:val="24"/>
          <w:szCs w:val="24"/>
          <w:highlight w:val="white"/>
        </w:rPr>
        <w:t>ough women and girls in many countries outpace their male peers at nearly all educational levels, they continue to face discrimination in the labour marked, including the financial sector, and lower rates of upward mobility than men. These factors combined</w:t>
      </w:r>
      <w:r>
        <w:rPr>
          <w:rFonts w:ascii="Times New Roman" w:eastAsia="Times New Roman" w:hAnsi="Times New Roman" w:cs="Times New Roman"/>
          <w:sz w:val="24"/>
          <w:szCs w:val="24"/>
          <w:highlight w:val="white"/>
        </w:rPr>
        <w:t xml:space="preserve"> with discrimination against women in financial markets mean that women are far less likely than men to have checking or savings accounts in their own names. In addition to this, women are less likely to have adequate identification papers, which will help</w:t>
      </w:r>
      <w:r>
        <w:rPr>
          <w:rFonts w:ascii="Times New Roman" w:eastAsia="Times New Roman" w:hAnsi="Times New Roman" w:cs="Times New Roman"/>
          <w:sz w:val="24"/>
          <w:szCs w:val="24"/>
          <w:highlight w:val="white"/>
        </w:rPr>
        <w:t xml:space="preserve"> them obtain loans, bank accounts etc. </w:t>
      </w: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Women belonging to ethnic minorities and migrant women face even more discrimination when it comes to the type of work they can access and how much they are paid. For instance: Globally, less than 20% of landholder</w:t>
      </w:r>
      <w:r>
        <w:rPr>
          <w:rFonts w:ascii="Times New Roman" w:eastAsia="Times New Roman" w:hAnsi="Times New Roman" w:cs="Times New Roman"/>
          <w:sz w:val="24"/>
          <w:szCs w:val="24"/>
          <w:highlight w:val="white"/>
        </w:rPr>
        <w:t>s are women and their land is often of less quality even though they represent between 43% and 70% of the workforce in the agricultural sector.</w:t>
      </w:r>
    </w:p>
    <w:p w:rsidR="002E049B" w:rsidRDefault="002E049B">
      <w:pPr>
        <w:spacing w:line="360" w:lineRule="auto"/>
        <w:contextualSpacing w:val="0"/>
        <w:rPr>
          <w:rFonts w:ascii="Times New Roman" w:eastAsia="Times New Roman" w:hAnsi="Times New Roman" w:cs="Times New Roman"/>
          <w:sz w:val="24"/>
          <w:szCs w:val="24"/>
          <w:highlight w:val="white"/>
        </w:rPr>
      </w:pPr>
    </w:p>
    <w:p w:rsidR="002E049B" w:rsidRDefault="002E049B">
      <w:pPr>
        <w:spacing w:line="360" w:lineRule="auto"/>
        <w:contextualSpacing w:val="0"/>
        <w:rPr>
          <w:rFonts w:ascii="Times New Roman" w:eastAsia="Times New Roman" w:hAnsi="Times New Roman" w:cs="Times New Roman"/>
          <w:sz w:val="24"/>
          <w:szCs w:val="24"/>
          <w:highlight w:val="white"/>
        </w:rPr>
      </w:pPr>
    </w:p>
    <w:p w:rsidR="002E049B" w:rsidRDefault="001610DE">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E049B" w:rsidRDefault="001610DE">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Links used to draft this paper:</w:t>
      </w:r>
    </w:p>
    <w:p w:rsidR="002E049B" w:rsidRDefault="001610DE">
      <w:pPr>
        <w:numPr>
          <w:ilvl w:val="0"/>
          <w:numId w:val="1"/>
        </w:numPr>
        <w:spacing w:line="360" w:lineRule="auto"/>
        <w:rPr>
          <w:rFonts w:ascii="Times New Roman" w:eastAsia="Times New Roman" w:hAnsi="Times New Roman" w:cs="Times New Roman"/>
          <w:sz w:val="24"/>
          <w:szCs w:val="24"/>
        </w:rPr>
      </w:pPr>
      <w:hyperlink r:id="rId5">
        <w:r>
          <w:rPr>
            <w:rFonts w:ascii="Times New Roman" w:eastAsia="Times New Roman" w:hAnsi="Times New Roman" w:cs="Times New Roman"/>
            <w:color w:val="0000FF"/>
            <w:sz w:val="24"/>
            <w:szCs w:val="24"/>
            <w:highlight w:val="white"/>
            <w:u w:val="single"/>
          </w:rPr>
          <w:t>https://www.womankind.org.uk/policy-and-campaigns/women's-rights/women's-economic-rights</w:t>
        </w:r>
      </w:hyperlink>
      <w:r>
        <w:fldChar w:fldCharType="begin"/>
      </w:r>
      <w:r>
        <w:instrText xml:space="preserve"> HYPERLINK "https://www.un.org/sustainabledevelopment/gender-equality/" </w:instrText>
      </w:r>
      <w:r>
        <w:fldChar w:fldCharType="separate"/>
      </w:r>
    </w:p>
    <w:p w:rsidR="002E049B" w:rsidRDefault="001610DE">
      <w:pPr>
        <w:numPr>
          <w:ilvl w:val="0"/>
          <w:numId w:val="1"/>
        </w:numPr>
        <w:spacing w:line="360" w:lineRule="auto"/>
        <w:rPr>
          <w:rFonts w:ascii="Times New Roman" w:eastAsia="Times New Roman" w:hAnsi="Times New Roman" w:cs="Times New Roman"/>
          <w:sz w:val="24"/>
          <w:szCs w:val="24"/>
        </w:rPr>
      </w:pPr>
      <w:r>
        <w:fldChar w:fldCharType="end"/>
      </w:r>
      <w:r>
        <w:fldChar w:fldCharType="begin"/>
      </w:r>
      <w:r>
        <w:instrText xml:space="preserve"> HYPERLINK "https://www.worldbank.org/en/topic/girlseducation" </w:instrText>
      </w:r>
      <w:r>
        <w:fldChar w:fldCharType="separate"/>
      </w:r>
      <w:r>
        <w:rPr>
          <w:rFonts w:ascii="Times New Roman" w:eastAsia="Times New Roman" w:hAnsi="Times New Roman" w:cs="Times New Roman"/>
          <w:color w:val="0000FF"/>
          <w:sz w:val="24"/>
          <w:szCs w:val="24"/>
          <w:u w:val="single"/>
        </w:rPr>
        <w:t>https://www.worldbank.org/en/topic/girlseducation</w:t>
      </w:r>
    </w:p>
    <w:p w:rsidR="002E049B" w:rsidRDefault="001610DE">
      <w:pPr>
        <w:numPr>
          <w:ilvl w:val="0"/>
          <w:numId w:val="1"/>
        </w:numPr>
        <w:spacing w:line="360" w:lineRule="auto"/>
        <w:rPr>
          <w:rFonts w:ascii="Times New Roman" w:eastAsia="Times New Roman" w:hAnsi="Times New Roman" w:cs="Times New Roman"/>
          <w:sz w:val="24"/>
          <w:szCs w:val="24"/>
        </w:rPr>
      </w:pPr>
      <w:r>
        <w:fldChar w:fldCharType="end"/>
      </w:r>
      <w:hyperlink r:id="rId6">
        <w:r>
          <w:rPr>
            <w:rFonts w:ascii="Times New Roman" w:eastAsia="Times New Roman" w:hAnsi="Times New Roman" w:cs="Times New Roman"/>
            <w:color w:val="0000FF"/>
            <w:sz w:val="24"/>
            <w:szCs w:val="24"/>
            <w:u w:val="single"/>
          </w:rPr>
          <w:t>http://www.pnas.org/content/114/41/10870.full</w:t>
        </w:r>
      </w:hyperlink>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 xml:space="preserve"> </w:t>
        </w:r>
      </w:hyperlink>
    </w:p>
    <w:p w:rsidR="002E049B" w:rsidRDefault="001610DE">
      <w:pPr>
        <w:numPr>
          <w:ilvl w:val="0"/>
          <w:numId w:val="1"/>
        </w:numPr>
        <w:spacing w:line="360" w:lineRule="auto"/>
        <w:rPr>
          <w:rFonts w:ascii="Times New Roman" w:eastAsia="Times New Roman" w:hAnsi="Times New Roman" w:cs="Times New Roman"/>
          <w:sz w:val="24"/>
          <w:szCs w:val="24"/>
        </w:rPr>
      </w:pPr>
      <w:r>
        <w:fldChar w:fldCharType="begin"/>
      </w:r>
      <w:r>
        <w:instrText xml:space="preserve"> HYPERLINK "http://www.unwomen.org/en/news/stories/2018/6/speech-ded-regner-womens-economic-empowerment-and-financial-inclusion-a</w:instrText>
      </w:r>
      <w:r>
        <w:instrText xml:space="preserve">t--group-of-77" </w:instrText>
      </w:r>
      <w:r>
        <w:fldChar w:fldCharType="separate"/>
      </w:r>
      <w:r>
        <w:rPr>
          <w:rFonts w:ascii="Times New Roman" w:eastAsia="Times New Roman" w:hAnsi="Times New Roman" w:cs="Times New Roman"/>
          <w:color w:val="0000FF"/>
          <w:sz w:val="24"/>
          <w:szCs w:val="24"/>
          <w:u w:val="single"/>
        </w:rPr>
        <w:t>http://www.unwomen.org/en/news/stories/2018/6/speech-ded-regner-womens-economic-empowerment-and-financial-inclusion-at--group-of-77</w:t>
      </w:r>
    </w:p>
    <w:p w:rsidR="002E049B" w:rsidRDefault="001610DE">
      <w:pPr>
        <w:contextualSpacing w:val="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rsidR="002E049B" w:rsidRDefault="002E049B">
      <w:pPr>
        <w:contextualSpacing w:val="0"/>
      </w:pPr>
    </w:p>
    <w:sectPr w:rsidR="002E049B">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235"/>
    <w:multiLevelType w:val="multilevel"/>
    <w:tmpl w:val="A1FA7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0F478B9"/>
    <w:multiLevelType w:val="multilevel"/>
    <w:tmpl w:val="65A02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9B"/>
    <w:rsid w:val="001610DE"/>
    <w:rsid w:val="002E049B"/>
    <w:rsid w:val="00E37B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D5142-FA62-7441-8FC1-8A0C86F2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women.org/en/news/stories/2018/6/speech-ded-regner-womens-economic-empowerment-and-financial-inclusion-at--group-of-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as.org/content/114/41/10870.full" TargetMode="External"/><Relationship Id="rId5" Type="http://schemas.openxmlformats.org/officeDocument/2006/relationships/hyperlink" Target="https://www.womankind.org.uk/policy-and-campaigns/women's-rights/women's-economic-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3711</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Slatcher</cp:lastModifiedBy>
  <cp:revision>2</cp:revision>
  <dcterms:created xsi:type="dcterms:W3CDTF">2018-11-03T10:28:00Z</dcterms:created>
  <dcterms:modified xsi:type="dcterms:W3CDTF">2018-11-03T10:28:00Z</dcterms:modified>
</cp:coreProperties>
</file>